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40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28"/>
          <w:lang w:bidi="ar"/>
        </w:rPr>
        <w:t>询价</w:t>
      </w:r>
      <w:r>
        <w:rPr>
          <w:rFonts w:hint="eastAsia" w:ascii="宋体" w:hAnsi="宋体" w:eastAsia="宋体" w:cs="宋体"/>
          <w:color w:val="000000"/>
          <w:kern w:val="0"/>
          <w:sz w:val="40"/>
          <w:szCs w:val="28"/>
          <w:lang w:eastAsia="zh-CN" w:bidi="ar"/>
        </w:rPr>
        <w:t>公告</w:t>
      </w:r>
    </w:p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spacing w:line="520" w:lineRule="exact"/>
        <w:ind w:right="-108" w:firstLine="600" w:firstLineChars="20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贵州富通工程咨询有限公司受委托人的委托，</w:t>
      </w:r>
      <w:r>
        <w:rPr>
          <w:rFonts w:hint="eastAsia" w:ascii="仿宋" w:hAnsi="仿宋" w:eastAsia="仿宋" w:cs="仿宋"/>
          <w:sz w:val="30"/>
          <w:szCs w:val="30"/>
          <w:u w:val="none"/>
        </w:rPr>
        <w:t>现对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贵州黔通智联科技产业发展有限责任公司</w:t>
      </w:r>
      <w:r>
        <w:rPr>
          <w:rFonts w:hint="eastAsia" w:ascii="仿宋" w:hAnsi="仿宋" w:eastAsia="仿宋" w:cs="仿宋"/>
          <w:sz w:val="30"/>
          <w:szCs w:val="30"/>
          <w:u w:val="none"/>
        </w:rPr>
        <w:t>关于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九州ETC货车金融供应链管理平台</w:t>
      </w:r>
      <w:r>
        <w:rPr>
          <w:rFonts w:hint="eastAsia" w:ascii="仿宋" w:hAnsi="仿宋" w:eastAsia="仿宋" w:cs="仿宋"/>
          <w:sz w:val="30"/>
          <w:szCs w:val="30"/>
          <w:u w:val="none"/>
        </w:rPr>
        <w:t>进行询价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有意向的服务商请于2020年11月13日17时前将询价回函及附件签字盖章后，扫描发送至邮箱：644707215@qq.com(JPGE格式)。感谢对询价工作的支持与配合!</w:t>
      </w:r>
    </w:p>
    <w:p>
      <w:pPr>
        <w:spacing w:line="520" w:lineRule="exact"/>
        <w:ind w:right="-108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一、采购内容: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按照采购方要求对九州ETC货车金融供应链平台进行开发，并运维一年。（详见询价回函）。</w:t>
      </w:r>
    </w:p>
    <w:p>
      <w:pPr>
        <w:spacing w:line="520" w:lineRule="exact"/>
        <w:ind w:right="-108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二、响应报价人资质要求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（一）依法注册成立年限原则3年以上，具有一定规模和较强实力；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（二）有软件开发的能力及相关业绩；</w:t>
      </w:r>
    </w:p>
    <w:p>
      <w:pPr>
        <w:spacing w:line="520" w:lineRule="exact"/>
        <w:ind w:right="-108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三、具体要求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建设基于H5的用户移动端的ETC供应链金融全生命周期的管理，包括在线开卡绑定金融产品、ETC卡的在线管理、ETC卡通行账单和金融服务费账单、ETC卡的金融授信和用户信息管理。需要兼容微信和支付宝等不同产品系的内嵌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建设灵活可配置的金融产品中心，需整合外部合作渠道的金融产品，同时兼容黔通智联自己发行的ETC配套金融产品，实现内部外部产品在线申请标准化管理和统一入口。支持按固定金额、总额比例进行服务费的配置，支持按天、按周、按月出账单的设置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建设具有大数据处理能力的账单处理中心，基于核心系统的日通行流水和产品方案，自动计算内外部渠道的产品的多种类型账单，实现统一的账单生成和清分结算操作。包含通行费账单、服务费账单、融资账单、本金还款账单、分润账单等。 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与现有核心系统打通，实现每日通行流水、每日代扣回盘数据的互联互通。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与现有渠道的系统打通，实现渠道产品在九州货车etc供应链金融系统的发行、记账、展示。 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新系统建设必须具备后续随着业务的发展无缝升级扩容的能力，同时系统必须具备兼容第三方系统集成能力，采用灵活的组件化设计和开发技术，使得系统具有良好的扩展性，另外增强对于整个系统在横向和纵向的扩展能力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通过独立部署客户服务系统平台，解决公司对业务系统及客户服务系统的信息安全问题。双机互为灾备的系统架构设计为平台带来强大的可靠性。当主平台硬件设备或程序发生故障时，可触发备用平台承接系统的工作能力，确保不会丢失业务数据及账单处理能力。</w:t>
      </w:r>
    </w:p>
    <w:p>
      <w:pPr>
        <w:spacing w:line="520" w:lineRule="exact"/>
        <w:ind w:right="-108"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结合目前市场上先进的货车etc供应链金融系统平台技术，引进创新的大数据处理能力，合理地、科学地运用大数据技术，未来为系统能够满足不断增长的业务需求，通过高度灵活的金融产品配置、自动化的账单生成等功能模块。</w:t>
      </w:r>
    </w:p>
    <w:p>
      <w:pPr>
        <w:pStyle w:val="4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pStyle w:val="4"/>
        <w:ind w:firstLine="562" w:firstLineChars="20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 w:bidi="ar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价为到场含税价。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询价回函详见附件,未明确项均作为报价附加项不再另行考虑费用。</w:t>
      </w:r>
    </w:p>
    <w:p>
      <w:pPr>
        <w:pStyle w:val="4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4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贵州富通工程咨询有限公司</w:t>
      </w:r>
    </w:p>
    <w:p>
      <w:pPr>
        <w:pStyle w:val="4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2020年11月11日</w:t>
      </w:r>
    </w:p>
    <w:p>
      <w:pPr>
        <w:pStyle w:val="4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询价回函格式：</w:t>
      </w:r>
    </w:p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招标限价清单：</w:t>
      </w:r>
    </w:p>
    <w:p>
      <w:pPr>
        <w:widowControl/>
        <w:jc w:val="left"/>
      </w:pP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850"/>
        <w:gridCol w:w="3237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报价单位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总报价（元）（含税价）</w:t>
            </w:r>
          </w:p>
        </w:tc>
        <w:tc>
          <w:tcPr>
            <w:tcW w:w="1471" w:type="dxa"/>
            <w:vAlign w:val="center"/>
          </w:tcPr>
          <w:p>
            <w:pPr>
              <w:ind w:firstLine="280" w:firstLineChars="10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 w:bidi="ar"/>
        </w:rPr>
        <w:t>分项报价清单：</w:t>
      </w:r>
      <w:bookmarkStart w:id="0" w:name="_GoBack"/>
      <w:bookmarkEnd w:id="0"/>
    </w:p>
    <w:tbl>
      <w:tblPr>
        <w:tblStyle w:val="6"/>
        <w:tblpPr w:leftFromText="180" w:rightFromText="180" w:vertAnchor="text" w:tblpXSpec="center" w:tblpY="1"/>
        <w:tblOverlap w:val="never"/>
        <w:tblW w:w="4893" w:type="pct"/>
        <w:tblInd w:w="-273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4712"/>
        <w:gridCol w:w="2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2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88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类别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161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报价（元）（含税价）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9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移动客户端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金融产品申请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ETC卡列表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通行明细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账单列表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授信额度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用户中心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金融产品中心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ETC卡管理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金融产品管理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合作方产品管理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客户账户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客户主体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资金方管理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保理方管理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代理方管理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推广费方案配置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推广码维护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账单中心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应付款管理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应收款管理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通行费账单查询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服务费账单查询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融资账单查询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服务费账单查询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本金账单查询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分润账单查询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代偿账单查询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逾期账单管理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推广费查询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  <w:lang w:val="en-US" w:eastAsia="zh-CN"/>
              </w:rPr>
              <w:t>四</w:t>
            </w: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</w:rPr>
              <w:t>系统设置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用户管理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角色管理</w:t>
            </w:r>
          </w:p>
        </w:tc>
        <w:tc>
          <w:tcPr>
            <w:tcW w:w="16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菜单管理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五</w:t>
            </w: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报表查看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记账卡额度预警报表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记账卡消费收付报表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通行费分析报表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分润明细报表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通行费数据统计报表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还款分布图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销户统计报表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消费额度占比表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六</w:t>
            </w: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数据管理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color w:val="000000"/>
                <w:kern w:val="0"/>
                <w:sz w:val="20"/>
                <w:szCs w:val="20"/>
              </w:rPr>
              <w:t>TC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通行账单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邮件发送记录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短信发送记录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288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61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报价单位：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（盖章）</w:t>
      </w:r>
    </w:p>
    <w:p>
      <w:pPr>
        <w:pStyle w:val="4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联系人： </w:t>
      </w:r>
    </w:p>
    <w:p>
      <w:pPr>
        <w:pStyle w:val="4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</w:t>
      </w:r>
    </w:p>
    <w:p>
      <w:pPr>
        <w:pStyle w:val="4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jc w:val="right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0"/>
    <w:rsid w:val="0002148B"/>
    <w:rsid w:val="000D02B8"/>
    <w:rsid w:val="006F1E40"/>
    <w:rsid w:val="007B4651"/>
    <w:rsid w:val="03423463"/>
    <w:rsid w:val="4D79363A"/>
    <w:rsid w:val="5CE12481"/>
    <w:rsid w:val="6718322E"/>
    <w:rsid w:val="6B52461D"/>
    <w:rsid w:val="720449BC"/>
    <w:rsid w:val="77A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</w:rPr>
  </w:style>
  <w:style w:type="paragraph" w:styleId="3">
    <w:name w:val="Body Text"/>
    <w:basedOn w:val="1"/>
    <w:unhideWhenUsed/>
    <w:uiPriority w:val="99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1199</Characters>
  <Lines>9</Lines>
  <Paragraphs>2</Paragraphs>
  <TotalTime>1</TotalTime>
  <ScaleCrop>false</ScaleCrop>
  <LinksUpToDate>false</LinksUpToDate>
  <CharactersWithSpaces>1407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2020-04-20T02:58:00Z</dcterms:created>
  <dc:creator>Windows 用户</dc:creator>
  <cp:lastModifiedBy>13985198166</cp:lastModifiedBy>
  <dcterms:modified xsi:type="dcterms:W3CDTF">2020-11-11T07:49:56Z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